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25"/>
        <w:gridCol w:w="3865"/>
      </w:tblGrid>
      <w:tr w:rsidR="00F74AB8" w14:paraId="52D1171C" w14:textId="77777777" w:rsidTr="00522ECF">
        <w:tc>
          <w:tcPr>
            <w:tcW w:w="6925" w:type="dxa"/>
          </w:tcPr>
          <w:p w14:paraId="63C6D6D0" w14:textId="69FA2017" w:rsidR="00F74AB8" w:rsidRDefault="00F74AB8" w:rsidP="00F15FFB">
            <w:pPr>
              <w:spacing w:before="100" w:beforeAutospacing="1" w:after="100" w:afterAutospacing="1"/>
              <w:outlineLvl w:val="0"/>
              <w:rPr>
                <w:rFonts w:asciiTheme="majorHAnsi" w:eastAsia="Times New Roman" w:hAnsiTheme="majorHAnsi" w:cs="Times New Roman"/>
                <w:b/>
                <w:bCs/>
                <w:kern w:val="36"/>
                <w:sz w:val="48"/>
                <w:szCs w:val="48"/>
                <w14:ligatures w14:val="none"/>
              </w:rPr>
            </w:pPr>
            <w:r w:rsidRPr="00F15FFB">
              <w:rPr>
                <w:rFonts w:asciiTheme="majorHAnsi" w:eastAsia="Times New Roman" w:hAnsiTheme="majorHAnsi" w:cs="Times New Roman"/>
                <w:b/>
                <w:bCs/>
                <w:kern w:val="36"/>
                <w:sz w:val="48"/>
                <w:szCs w:val="48"/>
                <w14:ligatures w14:val="none"/>
              </w:rPr>
              <w:t xml:space="preserve">Agenda </w:t>
            </w:r>
            <w:r w:rsidR="008E201B">
              <w:rPr>
                <w:rFonts w:asciiTheme="majorHAnsi" w:eastAsia="Times New Roman" w:hAnsiTheme="majorHAnsi" w:cs="Times New Roman"/>
                <w:b/>
                <w:bCs/>
                <w:kern w:val="36"/>
                <w:sz w:val="48"/>
                <w:szCs w:val="48"/>
                <w14:ligatures w14:val="none"/>
              </w:rPr>
              <w:t>As</w:t>
            </w:r>
            <w:r w:rsidRPr="00F15FFB">
              <w:rPr>
                <w:rFonts w:asciiTheme="majorHAnsi" w:eastAsia="Times New Roman" w:hAnsiTheme="majorHAnsi" w:cs="Times New Roman"/>
                <w:b/>
                <w:bCs/>
                <w:kern w:val="36"/>
                <w:sz w:val="48"/>
                <w:szCs w:val="48"/>
                <w14:ligatures w14:val="none"/>
              </w:rPr>
              <w:t xml:space="preserve"> Strategy</w:t>
            </w:r>
          </w:p>
        </w:tc>
        <w:tc>
          <w:tcPr>
            <w:tcW w:w="3865" w:type="dxa"/>
          </w:tcPr>
          <w:p w14:paraId="5E2BD682" w14:textId="06215DD5" w:rsidR="00F74AB8" w:rsidRDefault="00522ECF" w:rsidP="00522ECF">
            <w:pPr>
              <w:spacing w:before="100" w:beforeAutospacing="1" w:after="100" w:afterAutospacing="1"/>
              <w:jc w:val="right"/>
              <w:outlineLvl w:val="0"/>
              <w:rPr>
                <w:rFonts w:asciiTheme="majorHAnsi" w:eastAsia="Times New Roman" w:hAnsiTheme="majorHAnsi" w:cs="Times New Roman"/>
                <w:b/>
                <w:bCs/>
                <w:kern w:val="36"/>
                <w:sz w:val="48"/>
                <w:szCs w:val="48"/>
                <w14:ligatures w14:val="none"/>
              </w:rPr>
            </w:pPr>
            <w:r>
              <w:rPr>
                <w:noProof/>
              </w:rPr>
              <w:drawing>
                <wp:inline distT="0" distB="0" distL="0" distR="0" wp14:anchorId="491974AB" wp14:editId="709D981D">
                  <wp:extent cx="2208533" cy="631009"/>
                  <wp:effectExtent l="0" t="0" r="1270" b="0"/>
                  <wp:docPr id="8681969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196952" name="Picture 1"/>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2240581" cy="640166"/>
                          </a:xfrm>
                          <a:prstGeom prst="rect">
                            <a:avLst/>
                          </a:prstGeom>
                          <a:noFill/>
                          <a:ln>
                            <a:noFill/>
                          </a:ln>
                        </pic:spPr>
                      </pic:pic>
                    </a:graphicData>
                  </a:graphic>
                </wp:inline>
              </w:drawing>
            </w:r>
          </w:p>
        </w:tc>
      </w:tr>
    </w:tbl>
    <w:p w14:paraId="6179EDBE" w14:textId="3D234ABE" w:rsidR="00F15FFB" w:rsidRPr="00F15FFB" w:rsidRDefault="00F15FFB" w:rsidP="00F15FFB">
      <w:pPr>
        <w:spacing w:before="100" w:beforeAutospacing="1" w:after="100" w:afterAutospacing="1" w:line="240" w:lineRule="auto"/>
        <w:outlineLvl w:val="0"/>
        <w:rPr>
          <w:rFonts w:asciiTheme="majorHAnsi" w:eastAsia="Times New Roman" w:hAnsiTheme="majorHAnsi" w:cs="Times New Roman"/>
          <w:b/>
          <w:bCs/>
          <w:kern w:val="36"/>
          <w:sz w:val="48"/>
          <w:szCs w:val="48"/>
          <w14:ligatures w14:val="none"/>
        </w:rPr>
      </w:pPr>
      <w:r w:rsidRPr="00F15FFB">
        <w:rPr>
          <w:rFonts w:asciiTheme="majorHAnsi" w:eastAsia="Times New Roman" w:hAnsiTheme="majorHAnsi" w:cs="Times New Roman"/>
          <w:b/>
          <w:bCs/>
          <w:kern w:val="36"/>
          <w:sz w:val="48"/>
          <w:szCs w:val="48"/>
          <w14:ligatures w14:val="none"/>
        </w:rPr>
        <w:t>The Agenda Is the Strategy: How Future-Ready Boards Transform Leadership, Not Just Meetings</w:t>
      </w:r>
    </w:p>
    <w:p w14:paraId="5CFBDD91" w14:textId="6D75500D"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There is a quiet assumption embedded in most association boardrooms.</w:t>
      </w:r>
      <w:r w:rsidR="004E0996">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If we improve the meeting, we improve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w:t>
      </w:r>
      <w:r w:rsidR="004E0996">
        <w:rPr>
          <w:rFonts w:asciiTheme="majorHAnsi" w:eastAsia="Times New Roman" w:hAnsiTheme="majorHAnsi" w:cs="Times New Roman"/>
          <w:kern w:val="0"/>
          <w14:ligatures w14:val="none"/>
        </w:rPr>
        <w:t xml:space="preserve"> </w:t>
      </w:r>
      <w:proofErr w:type="gramStart"/>
      <w:r w:rsidRPr="00F15FFB">
        <w:rPr>
          <w:rFonts w:asciiTheme="majorHAnsi" w:eastAsia="Times New Roman" w:hAnsiTheme="majorHAnsi" w:cs="Times New Roman"/>
          <w:kern w:val="0"/>
          <w14:ligatures w14:val="none"/>
        </w:rPr>
        <w:t>So</w:t>
      </w:r>
      <w:proofErr w:type="gramEnd"/>
      <w:r w:rsidRPr="00F15FFB">
        <w:rPr>
          <w:rFonts w:asciiTheme="majorHAnsi" w:eastAsia="Times New Roman" w:hAnsiTheme="majorHAnsi" w:cs="Times New Roman"/>
          <w:kern w:val="0"/>
          <w14:ligatures w14:val="none"/>
        </w:rPr>
        <w:t xml:space="preserve"> we refine agendas. We shorten reports. We encourage participation. We try to be more efficient with time.</w:t>
      </w:r>
      <w:r w:rsidR="004E0996">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yet, despite these efforts, many boards still struggle to engage in meaningful strategic dialogue. They remain busy, informed, and well-intentioned—but not always prepared for what comes next.</w:t>
      </w:r>
      <w:r w:rsidR="004E0996">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That is because the meeting is not the problem.</w:t>
      </w:r>
      <w:r w:rsidR="004E0996">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The structure </w:t>
      </w:r>
      <w:r w:rsidR="004E0996">
        <w:rPr>
          <w:rFonts w:asciiTheme="majorHAnsi" w:eastAsia="Times New Roman" w:hAnsiTheme="majorHAnsi" w:cs="Times New Roman"/>
          <w:kern w:val="0"/>
          <w14:ligatures w14:val="none"/>
        </w:rPr>
        <w:t>and the thinking</w:t>
      </w:r>
      <w:r w:rsidR="004651A9">
        <w:rPr>
          <w:rFonts w:asciiTheme="majorHAnsi" w:eastAsia="Times New Roman" w:hAnsiTheme="majorHAnsi" w:cs="Times New Roman"/>
          <w:kern w:val="0"/>
          <w14:ligatures w14:val="none"/>
        </w:rPr>
        <w:t xml:space="preserve"> </w:t>
      </w:r>
      <w:proofErr w:type="gramStart"/>
      <w:r w:rsidR="004651A9">
        <w:rPr>
          <w:rFonts w:asciiTheme="majorHAnsi" w:eastAsia="Times New Roman" w:hAnsiTheme="majorHAnsi" w:cs="Times New Roman"/>
          <w:kern w:val="0"/>
          <w14:ligatures w14:val="none"/>
        </w:rPr>
        <w:t>are.</w:t>
      </w:r>
      <w:r w:rsidRPr="00F15FFB">
        <w:rPr>
          <w:rFonts w:asciiTheme="majorHAnsi" w:eastAsia="Times New Roman" w:hAnsiTheme="majorHAnsi" w:cs="Times New Roman"/>
          <w:kern w:val="0"/>
          <w14:ligatures w14:val="none"/>
        </w:rPr>
        <w:t>.</w:t>
      </w:r>
      <w:proofErr w:type="gramEnd"/>
    </w:p>
    <w:p w14:paraId="74350D36" w14:textId="4FB0CD99" w:rsidR="00F15FFB" w:rsidRPr="00F15FFB" w:rsidRDefault="004651A9" w:rsidP="00F15FFB">
      <w:p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 xml:space="preserve">I continue to believe that most </w:t>
      </w:r>
      <w:r w:rsidR="00F15FFB" w:rsidRPr="00F15FFB">
        <w:rPr>
          <w:rFonts w:asciiTheme="majorHAnsi" w:eastAsia="Times New Roman" w:hAnsiTheme="majorHAnsi" w:cs="Times New Roman"/>
          <w:kern w:val="0"/>
          <w14:ligatures w14:val="none"/>
        </w:rPr>
        <w:t xml:space="preserve">board agendas are built for a different era—one defined by relative stability, predictable change, and a governance model centered on oversight of past performance (Carver, 2006). In that world, it made sense for boards to spend </w:t>
      </w:r>
      <w:r w:rsidR="00C63AF5">
        <w:rPr>
          <w:rFonts w:asciiTheme="majorHAnsi" w:eastAsia="Times New Roman" w:hAnsiTheme="majorHAnsi" w:cs="Times New Roman"/>
          <w:kern w:val="0"/>
          <w14:ligatures w14:val="none"/>
        </w:rPr>
        <w:t>most of their time reviewing reports, validating activities</w:t>
      </w:r>
      <w:r w:rsidR="00F15FFB" w:rsidRPr="00F15FFB">
        <w:rPr>
          <w:rFonts w:asciiTheme="majorHAnsi" w:eastAsia="Times New Roman" w:hAnsiTheme="majorHAnsi" w:cs="Times New Roman"/>
          <w:kern w:val="0"/>
          <w14:ligatures w14:val="none"/>
        </w:rPr>
        <w:t>, and ensuring compliance.</w:t>
      </w:r>
      <w:r w:rsidR="00C63AF5">
        <w:rPr>
          <w:rFonts w:asciiTheme="majorHAnsi" w:eastAsia="Times New Roman" w:hAnsiTheme="majorHAnsi" w:cs="Times New Roman"/>
          <w:kern w:val="0"/>
          <w14:ligatures w14:val="none"/>
        </w:rPr>
        <w:t xml:space="preserve"> </w:t>
      </w:r>
      <w:r w:rsidR="00F15FFB" w:rsidRPr="00F15FFB">
        <w:rPr>
          <w:rFonts w:asciiTheme="majorHAnsi" w:eastAsia="Times New Roman" w:hAnsiTheme="majorHAnsi" w:cs="Times New Roman"/>
          <w:kern w:val="0"/>
          <w14:ligatures w14:val="none"/>
        </w:rPr>
        <w:t>But that is not the world we are operating in today.</w:t>
      </w:r>
    </w:p>
    <w:p w14:paraId="2C551312" w14:textId="640F5758"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 xml:space="preserve">We now </w:t>
      </w:r>
      <w:r w:rsidR="00CB71E5">
        <w:rPr>
          <w:rFonts w:asciiTheme="majorHAnsi" w:eastAsia="Times New Roman" w:hAnsiTheme="majorHAnsi" w:cs="Times New Roman"/>
          <w:kern w:val="0"/>
          <w14:ligatures w14:val="none"/>
        </w:rPr>
        <w:t xml:space="preserve">steward and </w:t>
      </w:r>
      <w:r w:rsidRPr="00F15FFB">
        <w:rPr>
          <w:rFonts w:asciiTheme="majorHAnsi" w:eastAsia="Times New Roman" w:hAnsiTheme="majorHAnsi" w:cs="Times New Roman"/>
          <w:kern w:val="0"/>
          <w14:ligatures w14:val="none"/>
        </w:rPr>
        <w:t>lead in an environment that is increasingly brittle, anxious, non</w:t>
      </w:r>
      <w:r w:rsidR="00C63AF5">
        <w:rPr>
          <w:rFonts w:asciiTheme="majorHAnsi" w:eastAsia="Times New Roman" w:hAnsiTheme="majorHAnsi" w:cs="Times New Roman"/>
          <w:kern w:val="0"/>
          <w14:ligatures w14:val="none"/>
        </w:rPr>
        <w:t xml:space="preserve">linear, and often incomprehensible—conditions </w:t>
      </w:r>
      <w:r w:rsidR="00CB71E5">
        <w:rPr>
          <w:rFonts w:asciiTheme="majorHAnsi" w:eastAsia="Times New Roman" w:hAnsiTheme="majorHAnsi" w:cs="Times New Roman"/>
          <w:kern w:val="0"/>
          <w14:ligatures w14:val="none"/>
        </w:rPr>
        <w:t>Jamais Cascio (2020) captured</w:t>
      </w:r>
      <w:r w:rsidRPr="00F15FFB">
        <w:rPr>
          <w:rFonts w:asciiTheme="majorHAnsi" w:eastAsia="Times New Roman" w:hAnsiTheme="majorHAnsi" w:cs="Times New Roman"/>
          <w:kern w:val="0"/>
          <w14:ligatures w14:val="none"/>
        </w:rPr>
        <w:t xml:space="preserve"> as the BANI environment. In this context, the </w:t>
      </w:r>
      <w:r w:rsidR="006A3100">
        <w:rPr>
          <w:rFonts w:asciiTheme="majorHAnsi" w:eastAsia="Times New Roman" w:hAnsiTheme="majorHAnsi" w:cs="Times New Roman"/>
          <w:kern w:val="0"/>
          <w14:ligatures w14:val="none"/>
        </w:rPr>
        <w:t>b</w:t>
      </w:r>
      <w:r w:rsidR="00CB71E5">
        <w:rPr>
          <w:rFonts w:asciiTheme="majorHAnsi" w:eastAsia="Times New Roman" w:hAnsiTheme="majorHAnsi" w:cs="Times New Roman"/>
          <w:kern w:val="0"/>
          <w14:ligatures w14:val="none"/>
        </w:rPr>
        <w:t>oard's role</w:t>
      </w:r>
      <w:r w:rsidRPr="00F15FFB">
        <w:rPr>
          <w:rFonts w:asciiTheme="majorHAnsi" w:eastAsia="Times New Roman" w:hAnsiTheme="majorHAnsi" w:cs="Times New Roman"/>
          <w:kern w:val="0"/>
          <w14:ligatures w14:val="none"/>
        </w:rPr>
        <w:t xml:space="preserve"> cannot remain anchored in hindsight. It must expand into foresight, a discipline that is increasingly recognized as essential for effective governance (De Cagna, 2020).</w:t>
      </w:r>
      <w:r w:rsidR="00CB71E5">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the place where that shift either happens—or doesn</w:t>
      </w:r>
      <w:r w:rsidR="00CB71E5">
        <w:rPr>
          <w:rFonts w:asciiTheme="majorHAnsi" w:eastAsia="Times New Roman" w:hAnsiTheme="majorHAnsi" w:cs="Times New Roman"/>
          <w:kern w:val="0"/>
          <w14:ligatures w14:val="none"/>
        </w:rPr>
        <w:t>'</w:t>
      </w:r>
      <w:r w:rsidRPr="00F15FFB">
        <w:rPr>
          <w:rFonts w:asciiTheme="majorHAnsi" w:eastAsia="Times New Roman" w:hAnsiTheme="majorHAnsi" w:cs="Times New Roman"/>
          <w:kern w:val="0"/>
          <w14:ligatures w14:val="none"/>
        </w:rPr>
        <w:t>t—is the agenda.</w:t>
      </w:r>
    </w:p>
    <w:p w14:paraId="34618A55" w14:textId="5F996535" w:rsidR="00F15FFB" w:rsidRPr="00F15FFB" w:rsidRDefault="009F6E73" w:rsidP="00F15FFB">
      <w:p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 xml:space="preserve">Why? </w:t>
      </w:r>
      <w:r w:rsidR="00F15FFB" w:rsidRPr="00F15FFB">
        <w:rPr>
          <w:rFonts w:asciiTheme="majorHAnsi" w:eastAsia="Times New Roman" w:hAnsiTheme="majorHAnsi" w:cs="Times New Roman"/>
          <w:kern w:val="0"/>
          <w14:ligatures w14:val="none"/>
        </w:rPr>
        <w:t>Because the agenda is not just a schedule.</w:t>
      </w:r>
      <w:r>
        <w:rPr>
          <w:rFonts w:asciiTheme="majorHAnsi" w:eastAsia="Times New Roman" w:hAnsiTheme="majorHAnsi" w:cs="Times New Roman"/>
          <w:kern w:val="0"/>
          <w14:ligatures w14:val="none"/>
        </w:rPr>
        <w:t xml:space="preserve"> </w:t>
      </w:r>
      <w:r w:rsidR="00F15FFB" w:rsidRPr="00F15FFB">
        <w:rPr>
          <w:rFonts w:asciiTheme="majorHAnsi" w:eastAsia="Times New Roman" w:hAnsiTheme="majorHAnsi" w:cs="Times New Roman"/>
          <w:kern w:val="0"/>
          <w14:ligatures w14:val="none"/>
        </w:rPr>
        <w:t>It is a signal.</w:t>
      </w:r>
      <w:r>
        <w:rPr>
          <w:rFonts w:asciiTheme="majorHAnsi" w:eastAsia="Times New Roman" w:hAnsiTheme="majorHAnsi" w:cs="Times New Roman"/>
          <w:kern w:val="0"/>
          <w14:ligatures w14:val="none"/>
        </w:rPr>
        <w:t xml:space="preserve"> </w:t>
      </w:r>
      <w:r w:rsidR="00F15FFB" w:rsidRPr="00F15FFB">
        <w:rPr>
          <w:rFonts w:asciiTheme="majorHAnsi" w:eastAsia="Times New Roman" w:hAnsiTheme="majorHAnsi" w:cs="Times New Roman"/>
          <w:kern w:val="0"/>
          <w14:ligatures w14:val="none"/>
        </w:rPr>
        <w:t xml:space="preserve">It tells the </w:t>
      </w:r>
      <w:r w:rsidR="006A3100">
        <w:rPr>
          <w:rFonts w:asciiTheme="majorHAnsi" w:eastAsia="Times New Roman" w:hAnsiTheme="majorHAnsi" w:cs="Times New Roman"/>
          <w:kern w:val="0"/>
          <w14:ligatures w14:val="none"/>
        </w:rPr>
        <w:t>b</w:t>
      </w:r>
      <w:r w:rsidR="00F15FFB" w:rsidRPr="00F15FFB">
        <w:rPr>
          <w:rFonts w:asciiTheme="majorHAnsi" w:eastAsia="Times New Roman" w:hAnsiTheme="majorHAnsi" w:cs="Times New Roman"/>
          <w:kern w:val="0"/>
          <w14:ligatures w14:val="none"/>
        </w:rPr>
        <w:t xml:space="preserve">oard what matters. It shapes how time </w:t>
      </w:r>
      <w:r w:rsidR="009351A5">
        <w:rPr>
          <w:rFonts w:asciiTheme="majorHAnsi" w:eastAsia="Times New Roman" w:hAnsiTheme="majorHAnsi" w:cs="Times New Roman"/>
          <w:kern w:val="0"/>
          <w14:ligatures w14:val="none"/>
        </w:rPr>
        <w:t>will be</w:t>
      </w:r>
      <w:r w:rsidR="00F15FFB" w:rsidRPr="00F15FFB">
        <w:rPr>
          <w:rFonts w:asciiTheme="majorHAnsi" w:eastAsia="Times New Roman" w:hAnsiTheme="majorHAnsi" w:cs="Times New Roman"/>
          <w:kern w:val="0"/>
          <w14:ligatures w14:val="none"/>
        </w:rPr>
        <w:t xml:space="preserve"> used. It defines whether the </w:t>
      </w:r>
      <w:r w:rsidR="006A3100">
        <w:rPr>
          <w:rFonts w:asciiTheme="majorHAnsi" w:eastAsia="Times New Roman" w:hAnsiTheme="majorHAnsi" w:cs="Times New Roman"/>
          <w:kern w:val="0"/>
          <w14:ligatures w14:val="none"/>
        </w:rPr>
        <w:t>b</w:t>
      </w:r>
      <w:r w:rsidR="00F15FFB" w:rsidRPr="00F15FFB">
        <w:rPr>
          <w:rFonts w:asciiTheme="majorHAnsi" w:eastAsia="Times New Roman" w:hAnsiTheme="majorHAnsi" w:cs="Times New Roman"/>
          <w:kern w:val="0"/>
          <w14:ligatures w14:val="none"/>
        </w:rPr>
        <w:t>oard is there to receive information or to engage in thinking. It determines whether the organization is preparing for the future—or reacting to it (Senge, 2006).</w:t>
      </w:r>
    </w:p>
    <w:p w14:paraId="5CB23EC8" w14:textId="36702076"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If you want to understand how a board leads, don</w:t>
      </w:r>
      <w:r w:rsidR="00CB71E5">
        <w:rPr>
          <w:rFonts w:asciiTheme="majorHAnsi" w:eastAsia="Times New Roman" w:hAnsiTheme="majorHAnsi" w:cs="Times New Roman"/>
          <w:kern w:val="0"/>
          <w14:ligatures w14:val="none"/>
        </w:rPr>
        <w:t>'</w:t>
      </w:r>
      <w:r w:rsidRPr="00F15FFB">
        <w:rPr>
          <w:rFonts w:asciiTheme="majorHAnsi" w:eastAsia="Times New Roman" w:hAnsiTheme="majorHAnsi" w:cs="Times New Roman"/>
          <w:kern w:val="0"/>
          <w14:ligatures w14:val="none"/>
        </w:rPr>
        <w:t>t start with its bylaws.</w:t>
      </w:r>
      <w:r w:rsidR="009351A5">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Start with its agenda.</w:t>
      </w:r>
      <w:r w:rsidR="008523B9">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Traditional agendas are built around information flow. Committee reports. Financial updates. CEO briefings. Each item </w:t>
      </w:r>
      <w:r w:rsidR="008523B9">
        <w:rPr>
          <w:rFonts w:asciiTheme="majorHAnsi" w:eastAsia="Times New Roman" w:hAnsiTheme="majorHAnsi" w:cs="Times New Roman"/>
          <w:kern w:val="0"/>
          <w14:ligatures w14:val="none"/>
        </w:rPr>
        <w:t xml:space="preserve">is </w:t>
      </w:r>
      <w:proofErr w:type="gramStart"/>
      <w:r w:rsidRPr="00F15FFB">
        <w:rPr>
          <w:rFonts w:asciiTheme="majorHAnsi" w:eastAsia="Times New Roman" w:hAnsiTheme="majorHAnsi" w:cs="Times New Roman"/>
          <w:kern w:val="0"/>
          <w14:ligatures w14:val="none"/>
        </w:rPr>
        <w:t>important in its own right, but</w:t>
      </w:r>
      <w:proofErr w:type="gramEnd"/>
      <w:r w:rsidR="00D63C33">
        <w:rPr>
          <w:rFonts w:asciiTheme="majorHAnsi" w:eastAsia="Times New Roman" w:hAnsiTheme="majorHAnsi" w:cs="Times New Roman"/>
          <w:kern w:val="0"/>
          <w14:ligatures w14:val="none"/>
        </w:rPr>
        <w:t xml:space="preserve"> collectively, it reinforces</w:t>
      </w:r>
      <w:r w:rsidRPr="00F15FFB">
        <w:rPr>
          <w:rFonts w:asciiTheme="majorHAnsi" w:eastAsia="Times New Roman" w:hAnsiTheme="majorHAnsi" w:cs="Times New Roman"/>
          <w:kern w:val="0"/>
          <w14:ligatures w14:val="none"/>
        </w:rPr>
        <w:t xml:space="preserve"> a pattern: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 as recipient.</w:t>
      </w:r>
    </w:p>
    <w:p w14:paraId="6F69C5BB" w14:textId="06BDA3F4"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The result is predictable. Boards become efficient at processing information, but less effective at interpreting it. They spend time reviewing what has already happened, rather than exploring what might happen next. They become well-informed, but underprepared (Taylor, Chait, &amp; Holland, 1996).</w:t>
      </w:r>
      <w:r w:rsidR="00D63C33">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The shift to a Strategic Stewardship Board Agenda changes this dynamic.</w:t>
      </w:r>
      <w:r w:rsidR="00B81F6F">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does not eliminate structure. It reorients it.</w:t>
      </w:r>
    </w:p>
    <w:p w14:paraId="47D39BA2" w14:textId="64350C9F" w:rsidR="00F15FFB" w:rsidRPr="00F15FFB" w:rsidRDefault="00B81F6F" w:rsidP="00F15FFB">
      <w:p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 xml:space="preserve">The </w:t>
      </w:r>
      <w:r w:rsidR="006A3100">
        <w:rPr>
          <w:rFonts w:asciiTheme="majorHAnsi" w:eastAsia="Times New Roman" w:hAnsiTheme="majorHAnsi" w:cs="Times New Roman"/>
          <w:kern w:val="0"/>
          <w14:ligatures w14:val="none"/>
        </w:rPr>
        <w:t>b</w:t>
      </w:r>
      <w:r>
        <w:rPr>
          <w:rFonts w:asciiTheme="majorHAnsi" w:eastAsia="Times New Roman" w:hAnsiTheme="majorHAnsi" w:cs="Times New Roman"/>
          <w:kern w:val="0"/>
          <w14:ligatures w14:val="none"/>
        </w:rPr>
        <w:t>oard's t</w:t>
      </w:r>
      <w:r w:rsidR="00F15FFB" w:rsidRPr="00F15FFB">
        <w:rPr>
          <w:rFonts w:asciiTheme="majorHAnsi" w:eastAsia="Times New Roman" w:hAnsiTheme="majorHAnsi" w:cs="Times New Roman"/>
          <w:kern w:val="0"/>
          <w14:ligatures w14:val="none"/>
        </w:rPr>
        <w:t xml:space="preserve">ime is intentionally redirected toward what matters most in a complex and fast-moving environment: understanding signals, challenging assumptions, engaging in dialogue, and building the capacity to respond to what is emerging (Heifetz, </w:t>
      </w:r>
      <w:proofErr w:type="spellStart"/>
      <w:r w:rsidR="00F15FFB" w:rsidRPr="00F15FFB">
        <w:rPr>
          <w:rFonts w:asciiTheme="majorHAnsi" w:eastAsia="Times New Roman" w:hAnsiTheme="majorHAnsi" w:cs="Times New Roman"/>
          <w:kern w:val="0"/>
          <w14:ligatures w14:val="none"/>
        </w:rPr>
        <w:t>Grashow</w:t>
      </w:r>
      <w:proofErr w:type="spellEnd"/>
      <w:r w:rsidR="00F15FFB" w:rsidRPr="00F15FFB">
        <w:rPr>
          <w:rFonts w:asciiTheme="majorHAnsi" w:eastAsia="Times New Roman" w:hAnsiTheme="majorHAnsi" w:cs="Times New Roman"/>
          <w:kern w:val="0"/>
          <w14:ligatures w14:val="none"/>
        </w:rPr>
        <w:t>, &amp; Linsky, 2009).</w:t>
      </w:r>
    </w:p>
    <w:p w14:paraId="34C0919E" w14:textId="36AF7336"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This shift begins with a set of simple but powerful design principles.</w:t>
      </w:r>
      <w:r w:rsidR="003D76C5">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Foresight over hindsight. Dialogue over download. Stewardship over volunteerism. Capacity over activity. Consent over presentation.</w:t>
      </w:r>
      <w:r w:rsidR="003D76C5">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These are not just meeting preferences. They are leadership commitments.</w:t>
      </w:r>
      <w:r w:rsidR="003D76C5">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And when they are applied consistently, they begin to change not only how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 meets—but how the entire organization operates.</w:t>
      </w:r>
    </w:p>
    <w:p w14:paraId="6AA2E23A" w14:textId="4F8A704F"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lastRenderedPageBreak/>
        <w:t xml:space="preserve">The first and most visible shift occurs in the </w:t>
      </w:r>
      <w:r w:rsidR="006A3100">
        <w:rPr>
          <w:rFonts w:asciiTheme="majorHAnsi" w:eastAsia="Times New Roman" w:hAnsiTheme="majorHAnsi" w:cs="Times New Roman"/>
          <w:kern w:val="0"/>
          <w14:ligatures w14:val="none"/>
        </w:rPr>
        <w:t>b</w:t>
      </w:r>
      <w:r w:rsidR="00572AD8">
        <w:rPr>
          <w:rFonts w:asciiTheme="majorHAnsi" w:eastAsia="Times New Roman" w:hAnsiTheme="majorHAnsi" w:cs="Times New Roman"/>
          <w:kern w:val="0"/>
          <w14:ligatures w14:val="none"/>
        </w:rPr>
        <w:t>oard's role</w:t>
      </w:r>
      <w:r w:rsidRPr="00F15FFB">
        <w:rPr>
          <w:rFonts w:asciiTheme="majorHAnsi" w:eastAsia="Times New Roman" w:hAnsiTheme="majorHAnsi" w:cs="Times New Roman"/>
          <w:kern w:val="0"/>
          <w14:ligatures w14:val="none"/>
        </w:rPr>
        <w:t xml:space="preserve"> itself.</w:t>
      </w:r>
      <w:r w:rsidR="00572AD8">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In a traditional model, board members are expected to review, approve, and ensure. In a Strategic Stewardship model, those responsibilities remain—but they are no longer sufficient. Board members must also interpret, question, and anticipate (Cornforth, 2012).</w:t>
      </w:r>
      <w:r w:rsidR="00572AD8">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They are no longer passive recipients of information.</w:t>
      </w:r>
      <w:r w:rsidR="00572AD8">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They are active participants in shaping direction.</w:t>
      </w:r>
    </w:p>
    <w:p w14:paraId="4F4C7C73" w14:textId="2B9062B4"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 xml:space="preserve">This </w:t>
      </w:r>
      <w:r w:rsidR="000A6714">
        <w:rPr>
          <w:rFonts w:asciiTheme="majorHAnsi" w:eastAsia="Times New Roman" w:hAnsiTheme="majorHAnsi" w:cs="Times New Roman"/>
          <w:kern w:val="0"/>
          <w14:ligatures w14:val="none"/>
        </w:rPr>
        <w:t xml:space="preserve">role change </w:t>
      </w:r>
      <w:r w:rsidRPr="00F15FFB">
        <w:rPr>
          <w:rFonts w:asciiTheme="majorHAnsi" w:eastAsia="Times New Roman" w:hAnsiTheme="majorHAnsi" w:cs="Times New Roman"/>
          <w:kern w:val="0"/>
          <w14:ligatures w14:val="none"/>
        </w:rPr>
        <w:t>requires a different posture—one grounded in curiosity, informed by external awareness, and comfortable with ambiguity. It asks board members to engage not just with answers, but with questions.</w:t>
      </w:r>
      <w:r w:rsidR="000A671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This is the essence of stewardship.</w:t>
      </w:r>
      <w:r w:rsidR="000A671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Not simply protecting the organization as it </w:t>
      </w:r>
      <w:proofErr w:type="gramStart"/>
      <w:r w:rsidRPr="00F15FFB">
        <w:rPr>
          <w:rFonts w:asciiTheme="majorHAnsi" w:eastAsia="Times New Roman" w:hAnsiTheme="majorHAnsi" w:cs="Times New Roman"/>
          <w:kern w:val="0"/>
          <w14:ligatures w14:val="none"/>
        </w:rPr>
        <w:t>is, but</w:t>
      </w:r>
      <w:proofErr w:type="gramEnd"/>
      <w:r w:rsidRPr="00F15FFB">
        <w:rPr>
          <w:rFonts w:asciiTheme="majorHAnsi" w:eastAsia="Times New Roman" w:hAnsiTheme="majorHAnsi" w:cs="Times New Roman"/>
          <w:kern w:val="0"/>
          <w14:ligatures w14:val="none"/>
        </w:rPr>
        <w:t xml:space="preserve"> preparing it for what it must become.</w:t>
      </w:r>
    </w:p>
    <w:p w14:paraId="2E2AB525" w14:textId="17C606EC"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 xml:space="preserve">As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w:t>
      </w:r>
      <w:r w:rsidR="00CB71E5">
        <w:rPr>
          <w:rFonts w:asciiTheme="majorHAnsi" w:eastAsia="Times New Roman" w:hAnsiTheme="majorHAnsi" w:cs="Times New Roman"/>
          <w:kern w:val="0"/>
          <w14:ligatures w14:val="none"/>
        </w:rPr>
        <w:t>'</w:t>
      </w:r>
      <w:r w:rsidRPr="00F15FFB">
        <w:rPr>
          <w:rFonts w:asciiTheme="majorHAnsi" w:eastAsia="Times New Roman" w:hAnsiTheme="majorHAnsi" w:cs="Times New Roman"/>
          <w:kern w:val="0"/>
          <w14:ligatures w14:val="none"/>
        </w:rPr>
        <w:t xml:space="preserve">s role evolves, so too does the </w:t>
      </w:r>
      <w:r w:rsidR="001511EE">
        <w:rPr>
          <w:rFonts w:asciiTheme="majorHAnsi" w:eastAsia="Times New Roman" w:hAnsiTheme="majorHAnsi" w:cs="Times New Roman"/>
          <w:kern w:val="0"/>
          <w14:ligatures w14:val="none"/>
        </w:rPr>
        <w:t>Chief Staff Executive's rol</w:t>
      </w:r>
      <w:r w:rsidRPr="00F15FFB">
        <w:rPr>
          <w:rFonts w:asciiTheme="majorHAnsi" w:eastAsia="Times New Roman" w:hAnsiTheme="majorHAnsi" w:cs="Times New Roman"/>
          <w:kern w:val="0"/>
          <w14:ligatures w14:val="none"/>
        </w:rPr>
        <w:t>e.</w:t>
      </w:r>
      <w:r w:rsidR="001511E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In many organizations, the CEO has been positioned as the primary reporter to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 xml:space="preserve">oard—responsible for delivering updates, providing context, and answering questions. This model reinforces a dynamic in which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 receives</w:t>
      </w:r>
      <w:r w:rsidR="001511EE">
        <w:rPr>
          <w:rFonts w:asciiTheme="majorHAnsi" w:eastAsia="Times New Roman" w:hAnsiTheme="majorHAnsi" w:cs="Times New Roman"/>
          <w:kern w:val="0"/>
          <w14:ligatures w14:val="none"/>
        </w:rPr>
        <w:t>,</w:t>
      </w:r>
      <w:r w:rsidRPr="00F15FFB">
        <w:rPr>
          <w:rFonts w:asciiTheme="majorHAnsi" w:eastAsia="Times New Roman" w:hAnsiTheme="majorHAnsi" w:cs="Times New Roman"/>
          <w:kern w:val="0"/>
          <w14:ligatures w14:val="none"/>
        </w:rPr>
        <w:t xml:space="preserve"> and the CEO explains.</w:t>
      </w:r>
    </w:p>
    <w:p w14:paraId="7BF0A0B7" w14:textId="4875B019"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But in a Strategic Stewardship model, the CEO</w:t>
      </w:r>
      <w:r w:rsidR="00CB71E5">
        <w:rPr>
          <w:rFonts w:asciiTheme="majorHAnsi" w:eastAsia="Times New Roman" w:hAnsiTheme="majorHAnsi" w:cs="Times New Roman"/>
          <w:kern w:val="0"/>
          <w14:ligatures w14:val="none"/>
        </w:rPr>
        <w:t>'</w:t>
      </w:r>
      <w:r w:rsidRPr="00F15FFB">
        <w:rPr>
          <w:rFonts w:asciiTheme="majorHAnsi" w:eastAsia="Times New Roman" w:hAnsiTheme="majorHAnsi" w:cs="Times New Roman"/>
          <w:kern w:val="0"/>
          <w14:ligatures w14:val="none"/>
        </w:rPr>
        <w:t>s role expands.</w:t>
      </w:r>
      <w:r w:rsidR="001511E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The CEO becomes a strategic integrator.</w:t>
      </w:r>
    </w:p>
    <w:p w14:paraId="59528CC2" w14:textId="788EC308"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This</w:t>
      </w:r>
      <w:r w:rsidR="00D31980">
        <w:rPr>
          <w:rFonts w:asciiTheme="majorHAnsi" w:eastAsia="Times New Roman" w:hAnsiTheme="majorHAnsi" w:cs="Times New Roman"/>
          <w:kern w:val="0"/>
          <w14:ligatures w14:val="none"/>
        </w:rPr>
        <w:t xml:space="preserve"> expanded role</w:t>
      </w:r>
      <w:r w:rsidRPr="00F15FFB">
        <w:rPr>
          <w:rFonts w:asciiTheme="majorHAnsi" w:eastAsia="Times New Roman" w:hAnsiTheme="majorHAnsi" w:cs="Times New Roman"/>
          <w:kern w:val="0"/>
          <w14:ligatures w14:val="none"/>
        </w:rPr>
        <w:t xml:space="preserve"> is a subtle but important shift. It means moving beyond reporting information to curating insight. It means framing the questions that matter, not simply presenting the </w:t>
      </w:r>
      <w:r w:rsidR="00D31980">
        <w:rPr>
          <w:rFonts w:asciiTheme="majorHAnsi" w:eastAsia="Times New Roman" w:hAnsiTheme="majorHAnsi" w:cs="Times New Roman"/>
          <w:kern w:val="0"/>
          <w14:ligatures w14:val="none"/>
        </w:rPr>
        <w:t>known answers</w:t>
      </w:r>
      <w:r w:rsidRPr="00F15FFB">
        <w:rPr>
          <w:rFonts w:asciiTheme="majorHAnsi" w:eastAsia="Times New Roman" w:hAnsiTheme="majorHAnsi" w:cs="Times New Roman"/>
          <w:kern w:val="0"/>
          <w14:ligatures w14:val="none"/>
        </w:rPr>
        <w:t xml:space="preserve">. It means connecting what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 is discussing to how the organization will respond (Maitlis &amp; Lawrence, 2007).</w:t>
      </w:r>
    </w:p>
    <w:p w14:paraId="3E3C0339" w14:textId="7CE06FF5"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The CEO is no longer the center of the meeting.</w:t>
      </w:r>
      <w:r w:rsidR="0022658A">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They are the architect of its value.</w:t>
      </w:r>
      <w:r w:rsidR="00ED4E32">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This </w:t>
      </w:r>
      <w:r w:rsidR="0022658A">
        <w:rPr>
          <w:rFonts w:asciiTheme="majorHAnsi" w:eastAsia="Times New Roman" w:hAnsiTheme="majorHAnsi" w:cs="Times New Roman"/>
          <w:kern w:val="0"/>
          <w14:ligatures w14:val="none"/>
        </w:rPr>
        <w:t xml:space="preserve">change </w:t>
      </w:r>
      <w:r w:rsidRPr="00F15FFB">
        <w:rPr>
          <w:rFonts w:asciiTheme="majorHAnsi" w:eastAsia="Times New Roman" w:hAnsiTheme="majorHAnsi" w:cs="Times New Roman"/>
          <w:kern w:val="0"/>
          <w14:ligatures w14:val="none"/>
        </w:rPr>
        <w:t xml:space="preserve">requires discipline. It requires restraint. And it requires a willingness to allow </w:t>
      </w:r>
      <w:r w:rsidR="00ED4E32">
        <w:rPr>
          <w:rFonts w:asciiTheme="majorHAnsi" w:eastAsia="Times New Roman" w:hAnsiTheme="majorHAnsi" w:cs="Times New Roman"/>
          <w:kern w:val="0"/>
          <w14:ligatures w14:val="none"/>
        </w:rPr>
        <w:t>the Board space to think—rather than filling it</w:t>
      </w:r>
      <w:r w:rsidRPr="00F15FFB">
        <w:rPr>
          <w:rFonts w:asciiTheme="majorHAnsi" w:eastAsia="Times New Roman" w:hAnsiTheme="majorHAnsi" w:cs="Times New Roman"/>
          <w:kern w:val="0"/>
          <w14:ligatures w14:val="none"/>
        </w:rPr>
        <w:t xml:space="preserve"> with more information.</w:t>
      </w:r>
    </w:p>
    <w:p w14:paraId="50AF65AF" w14:textId="1145C335"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Perhaps the most underestimated impact of this shift, however, is on staff.</w:t>
      </w:r>
      <w:r w:rsidR="00ED4E32">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When the agenda changes, the work changes.</w:t>
      </w:r>
      <w:r w:rsidR="00ED4E32">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In traditional models, staff </w:t>
      </w:r>
      <w:proofErr w:type="gramStart"/>
      <w:r w:rsidRPr="00F15FFB">
        <w:rPr>
          <w:rFonts w:asciiTheme="majorHAnsi" w:eastAsia="Times New Roman" w:hAnsiTheme="majorHAnsi" w:cs="Times New Roman"/>
          <w:kern w:val="0"/>
          <w14:ligatures w14:val="none"/>
        </w:rPr>
        <w:t>invest</w:t>
      </w:r>
      <w:r w:rsidR="00ED4E32">
        <w:rPr>
          <w:rFonts w:asciiTheme="majorHAnsi" w:eastAsia="Times New Roman" w:hAnsiTheme="majorHAnsi" w:cs="Times New Roman"/>
          <w:kern w:val="0"/>
          <w14:ligatures w14:val="none"/>
        </w:rPr>
        <w:t>s</w:t>
      </w:r>
      <w:proofErr w:type="gramEnd"/>
      <w:r w:rsidRPr="00F15FFB">
        <w:rPr>
          <w:rFonts w:asciiTheme="majorHAnsi" w:eastAsia="Times New Roman" w:hAnsiTheme="majorHAnsi" w:cs="Times New Roman"/>
          <w:kern w:val="0"/>
          <w14:ligatures w14:val="none"/>
        </w:rPr>
        <w:t xml:space="preserve"> significant time in preparing detailed reports—documenting activity, summarizing outcomes, and ensuring that information is complete.</w:t>
      </w:r>
      <w:r w:rsidR="00ED4E32">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But they are not always strategic.</w:t>
      </w:r>
    </w:p>
    <w:p w14:paraId="78989A78" w14:textId="1124A5F6"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In a Strategic Stewardship model, staff must move from reporting to enabling.</w:t>
      </w:r>
      <w:r w:rsidR="00ED4E32">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This means developing the ability to translate data into insight. To identify patterns, signals, and implications. To bring forward not just what has happened, but why it matters and what it might mean (Kahneman, 2011).</w:t>
      </w:r>
    </w:p>
    <w:p w14:paraId="7D998E74" w14:textId="4189B97C"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 xml:space="preserve">It also means learning to communicate </w:t>
      </w:r>
      <w:proofErr w:type="gramStart"/>
      <w:r w:rsidRPr="00F15FFB">
        <w:rPr>
          <w:rFonts w:asciiTheme="majorHAnsi" w:eastAsia="Times New Roman" w:hAnsiTheme="majorHAnsi" w:cs="Times New Roman"/>
          <w:kern w:val="0"/>
          <w14:ligatures w14:val="none"/>
        </w:rPr>
        <w:t>differently</w:t>
      </w:r>
      <w:r w:rsidR="002653D4">
        <w:rPr>
          <w:rFonts w:asciiTheme="majorHAnsi" w:eastAsia="Times New Roman" w:hAnsiTheme="majorHAnsi" w:cs="Times New Roman"/>
          <w:kern w:val="0"/>
          <w14:ligatures w14:val="none"/>
        </w:rPr>
        <w:t>—s</w:t>
      </w:r>
      <w:r w:rsidRPr="00F15FFB">
        <w:rPr>
          <w:rFonts w:asciiTheme="majorHAnsi" w:eastAsia="Times New Roman" w:hAnsiTheme="majorHAnsi" w:cs="Times New Roman"/>
          <w:kern w:val="0"/>
          <w14:ligatures w14:val="none"/>
        </w:rPr>
        <w:t>horter</w:t>
      </w:r>
      <w:proofErr w:type="gramEnd"/>
      <w:r w:rsidRPr="00F15FFB">
        <w:rPr>
          <w:rFonts w:asciiTheme="majorHAnsi" w:eastAsia="Times New Roman" w:hAnsiTheme="majorHAnsi" w:cs="Times New Roman"/>
          <w:kern w:val="0"/>
          <w14:ligatures w14:val="none"/>
        </w:rPr>
        <w:t xml:space="preserve"> materials. Clearer framing. Fewer pages, but more meaning.</w:t>
      </w:r>
      <w:r w:rsidR="002653D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Every briefing becomes an opportunity to guide thinking, not just </w:t>
      </w:r>
      <w:r w:rsidR="002653D4">
        <w:rPr>
          <w:rFonts w:asciiTheme="majorHAnsi" w:eastAsia="Times New Roman" w:hAnsiTheme="majorHAnsi" w:cs="Times New Roman"/>
          <w:kern w:val="0"/>
          <w14:ligatures w14:val="none"/>
        </w:rPr>
        <w:t xml:space="preserve">to </w:t>
      </w:r>
      <w:r w:rsidRPr="00F15FFB">
        <w:rPr>
          <w:rFonts w:asciiTheme="majorHAnsi" w:eastAsia="Times New Roman" w:hAnsiTheme="majorHAnsi" w:cs="Times New Roman"/>
          <w:kern w:val="0"/>
          <w14:ligatures w14:val="none"/>
        </w:rPr>
        <w:t>convey information.</w:t>
      </w:r>
      <w:r w:rsidR="002653D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perhaps most importantly, staff must begin to look outward as well as inward—bringing external signals into the organization</w:t>
      </w:r>
      <w:r w:rsidR="00CB71E5">
        <w:rPr>
          <w:rFonts w:asciiTheme="majorHAnsi" w:eastAsia="Times New Roman" w:hAnsiTheme="majorHAnsi" w:cs="Times New Roman"/>
          <w:kern w:val="0"/>
          <w14:ligatures w14:val="none"/>
        </w:rPr>
        <w:t>'</w:t>
      </w:r>
      <w:r w:rsidRPr="00F15FFB">
        <w:rPr>
          <w:rFonts w:asciiTheme="majorHAnsi" w:eastAsia="Times New Roman" w:hAnsiTheme="majorHAnsi" w:cs="Times New Roman"/>
          <w:kern w:val="0"/>
          <w14:ligatures w14:val="none"/>
        </w:rPr>
        <w:t>s field of vision and helping leadership make sense of them (Rohrbeck &amp; Kum, 2018).</w:t>
      </w:r>
      <w:r w:rsidR="002653D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This is not a small shift.</w:t>
      </w:r>
      <w:r w:rsidR="002653D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is a capability shift.</w:t>
      </w:r>
      <w:r w:rsidR="002653D4">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like all capability shifts, it requires intentional development.</w:t>
      </w:r>
    </w:p>
    <w:p w14:paraId="06FAE730" w14:textId="77777777"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Organizations that adopt this model successfully do three things well.</w:t>
      </w:r>
    </w:p>
    <w:p w14:paraId="418045D3" w14:textId="143E9857" w:rsidR="004B6E99" w:rsidRDefault="00F15FFB" w:rsidP="00F15FFB">
      <w:pPr>
        <w:pStyle w:val="ListParagraph"/>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4B6E99">
        <w:rPr>
          <w:rFonts w:asciiTheme="majorHAnsi" w:eastAsia="Times New Roman" w:hAnsiTheme="majorHAnsi" w:cs="Times New Roman"/>
          <w:kern w:val="0"/>
          <w14:ligatures w14:val="none"/>
        </w:rPr>
        <w:t xml:space="preserve">They educate the </w:t>
      </w:r>
      <w:r w:rsidR="006A3100">
        <w:rPr>
          <w:rFonts w:asciiTheme="majorHAnsi" w:eastAsia="Times New Roman" w:hAnsiTheme="majorHAnsi" w:cs="Times New Roman"/>
          <w:kern w:val="0"/>
          <w14:ligatures w14:val="none"/>
        </w:rPr>
        <w:t>b</w:t>
      </w:r>
      <w:r w:rsidRPr="004B6E99">
        <w:rPr>
          <w:rFonts w:asciiTheme="majorHAnsi" w:eastAsia="Times New Roman" w:hAnsiTheme="majorHAnsi" w:cs="Times New Roman"/>
          <w:kern w:val="0"/>
          <w14:ligatures w14:val="none"/>
        </w:rPr>
        <w:t xml:space="preserve">oard—helping members </w:t>
      </w:r>
      <w:proofErr w:type="gramStart"/>
      <w:r w:rsidRPr="004B6E99">
        <w:rPr>
          <w:rFonts w:asciiTheme="majorHAnsi" w:eastAsia="Times New Roman" w:hAnsiTheme="majorHAnsi" w:cs="Times New Roman"/>
          <w:kern w:val="0"/>
          <w14:ligatures w14:val="none"/>
        </w:rPr>
        <w:t>understand</w:t>
      </w:r>
      <w:proofErr w:type="gramEnd"/>
      <w:r w:rsidRPr="004B6E99">
        <w:rPr>
          <w:rFonts w:asciiTheme="majorHAnsi" w:eastAsia="Times New Roman" w:hAnsiTheme="majorHAnsi" w:cs="Times New Roman"/>
          <w:kern w:val="0"/>
          <w14:ligatures w14:val="none"/>
        </w:rPr>
        <w:t xml:space="preserve"> not only what is changing, but why it matters and how the</w:t>
      </w:r>
      <w:r w:rsidR="006A3100">
        <w:rPr>
          <w:rFonts w:asciiTheme="majorHAnsi" w:eastAsia="Times New Roman" w:hAnsiTheme="majorHAnsi" w:cs="Times New Roman"/>
          <w:kern w:val="0"/>
          <w14:ligatures w14:val="none"/>
        </w:rPr>
        <w:t xml:space="preserve"> board is </w:t>
      </w:r>
      <w:r w:rsidRPr="004B6E99">
        <w:rPr>
          <w:rFonts w:asciiTheme="majorHAnsi" w:eastAsia="Times New Roman" w:hAnsiTheme="majorHAnsi" w:cs="Times New Roman"/>
          <w:kern w:val="0"/>
          <w14:ligatures w14:val="none"/>
        </w:rPr>
        <w:t>expected to engage.</w:t>
      </w:r>
    </w:p>
    <w:p w14:paraId="5E95AC4B" w14:textId="2EFF9901" w:rsidR="004B6E99" w:rsidRDefault="00F15FFB" w:rsidP="00F15FFB">
      <w:pPr>
        <w:pStyle w:val="ListParagraph"/>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4B6E99">
        <w:rPr>
          <w:rFonts w:asciiTheme="majorHAnsi" w:eastAsia="Times New Roman" w:hAnsiTheme="majorHAnsi" w:cs="Times New Roman"/>
          <w:kern w:val="0"/>
          <w14:ligatures w14:val="none"/>
        </w:rPr>
        <w:t>They support the CEO—recognizing that this expanded role requires new skills, new habits, and often a rebalancing of how time is spent.</w:t>
      </w:r>
    </w:p>
    <w:p w14:paraId="44E9EAAB" w14:textId="26607C84" w:rsidR="00F15FFB" w:rsidRPr="004B6E99" w:rsidRDefault="00F15FFB" w:rsidP="00F15FFB">
      <w:pPr>
        <w:pStyle w:val="ListParagraph"/>
        <w:numPr>
          <w:ilvl w:val="0"/>
          <w:numId w:val="1"/>
        </w:numPr>
        <w:spacing w:before="100" w:beforeAutospacing="1" w:after="100" w:afterAutospacing="1" w:line="240" w:lineRule="auto"/>
        <w:rPr>
          <w:rFonts w:asciiTheme="majorHAnsi" w:eastAsia="Times New Roman" w:hAnsiTheme="majorHAnsi" w:cs="Times New Roman"/>
          <w:kern w:val="0"/>
          <w14:ligatures w14:val="none"/>
        </w:rPr>
      </w:pPr>
      <w:r w:rsidRPr="004B6E99">
        <w:rPr>
          <w:rFonts w:asciiTheme="majorHAnsi" w:eastAsia="Times New Roman" w:hAnsiTheme="majorHAnsi" w:cs="Times New Roman"/>
          <w:kern w:val="0"/>
          <w14:ligatures w14:val="none"/>
        </w:rPr>
        <w:t>And they invest in staff—building the strategic, analytical, and communication capabilities necessary to support a more forward-looking governance model.</w:t>
      </w:r>
    </w:p>
    <w:p w14:paraId="0FAF3383" w14:textId="7F1B51BD"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lastRenderedPageBreak/>
        <w:t>This work is not happening in isolation.</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Across the association community, there is a growing recognition that governance must evolve to meet the demands of a rapidly changing world. Conversations emerging from initiatives such as the Future of Association Boards (FAB), along with broader work in foresight-based governance, reflect a shared understanding: that traditional models, while foundational, are no longer sufficient on their own.</w:t>
      </w:r>
    </w:p>
    <w:p w14:paraId="0567FD5B" w14:textId="60DEC2C4"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This paper builds on that evolving conversation.</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offers one practical way to translate those ideas into action—</w:t>
      </w:r>
      <w:r w:rsidR="002B2EDE">
        <w:rPr>
          <w:rFonts w:asciiTheme="majorHAnsi" w:eastAsia="Times New Roman" w:hAnsiTheme="majorHAnsi" w:cs="Times New Roman"/>
          <w:kern w:val="0"/>
          <w14:ligatures w14:val="none"/>
        </w:rPr>
        <w:t>by redesigning</w:t>
      </w:r>
      <w:r w:rsidRPr="00F15FFB">
        <w:rPr>
          <w:rFonts w:asciiTheme="majorHAnsi" w:eastAsia="Times New Roman" w:hAnsiTheme="majorHAnsi" w:cs="Times New Roman"/>
          <w:kern w:val="0"/>
          <w14:ligatures w14:val="none"/>
        </w:rPr>
        <w:t xml:space="preserve"> the board agenda itself</w:t>
      </w:r>
      <w:r w:rsidR="002B2EDE">
        <w:rPr>
          <w:rFonts w:asciiTheme="majorHAnsi" w:eastAsia="Times New Roman" w:hAnsiTheme="majorHAnsi" w:cs="Times New Roman"/>
          <w:kern w:val="0"/>
          <w14:ligatures w14:val="none"/>
        </w:rPr>
        <w:t>, b</w:t>
      </w:r>
      <w:r w:rsidRPr="00F15FFB">
        <w:rPr>
          <w:rFonts w:asciiTheme="majorHAnsi" w:eastAsia="Times New Roman" w:hAnsiTheme="majorHAnsi" w:cs="Times New Roman"/>
          <w:kern w:val="0"/>
          <w14:ligatures w14:val="none"/>
        </w:rPr>
        <w:t>ecause this is not about abandoning the fundamentals of governance.</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is about strengthening them.</w:t>
      </w:r>
    </w:p>
    <w:p w14:paraId="478D37BF" w14:textId="50E3AC2E"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In a world defined by uncertainty, the greatest risk is not that boards fail to review the past effectively.</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is that they fail to prepare the organization for what comes next.</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preparation does not happen by accident.</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happens by design.</w:t>
      </w:r>
    </w:p>
    <w:p w14:paraId="0D1DF2C7" w14:textId="2AE91031" w:rsidR="00F15FFB" w:rsidRPr="00F15FFB" w:rsidRDefault="00F15FFB" w:rsidP="00F15FFB">
      <w:pPr>
        <w:spacing w:before="100" w:beforeAutospacing="1" w:after="100" w:afterAutospacing="1" w:line="240" w:lineRule="auto"/>
        <w:rPr>
          <w:rFonts w:asciiTheme="majorHAnsi" w:eastAsia="Times New Roman" w:hAnsiTheme="majorHAnsi" w:cs="Times New Roman"/>
          <w:kern w:val="0"/>
          <w14:ligatures w14:val="none"/>
        </w:rPr>
      </w:pPr>
      <w:r w:rsidRPr="00F15FFB">
        <w:rPr>
          <w:rFonts w:asciiTheme="majorHAnsi" w:eastAsia="Times New Roman" w:hAnsiTheme="majorHAnsi" w:cs="Times New Roman"/>
          <w:kern w:val="0"/>
          <w14:ligatures w14:val="none"/>
        </w:rPr>
        <w:t>The agenda is that design.</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It is the infrastructure that shapes how leadership happens inside the organization.</w:t>
      </w:r>
      <w:r w:rsidR="002B2EDE">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when you change it—intentionally and consistently—you do more than improve meetings.</w:t>
      </w:r>
      <w:r w:rsidR="003E676C">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 xml:space="preserve">You change how the </w:t>
      </w:r>
      <w:r w:rsidR="006A3100">
        <w:rPr>
          <w:rFonts w:asciiTheme="majorHAnsi" w:eastAsia="Times New Roman" w:hAnsiTheme="majorHAnsi" w:cs="Times New Roman"/>
          <w:kern w:val="0"/>
          <w14:ligatures w14:val="none"/>
        </w:rPr>
        <w:t>b</w:t>
      </w:r>
      <w:r w:rsidRPr="00F15FFB">
        <w:rPr>
          <w:rFonts w:asciiTheme="majorHAnsi" w:eastAsia="Times New Roman" w:hAnsiTheme="majorHAnsi" w:cs="Times New Roman"/>
          <w:kern w:val="0"/>
          <w14:ligatures w14:val="none"/>
        </w:rPr>
        <w:t>oard sees</w:t>
      </w:r>
      <w:r w:rsidR="003E676C">
        <w:rPr>
          <w:rFonts w:asciiTheme="majorHAnsi" w:eastAsia="Times New Roman" w:hAnsiTheme="majorHAnsi" w:cs="Times New Roman"/>
          <w:kern w:val="0"/>
          <w14:ligatures w14:val="none"/>
        </w:rPr>
        <w:t xml:space="preserve"> and sets direction</w:t>
      </w:r>
      <w:r w:rsidRPr="00F15FFB">
        <w:rPr>
          <w:rFonts w:asciiTheme="majorHAnsi" w:eastAsia="Times New Roman" w:hAnsiTheme="majorHAnsi" w:cs="Times New Roman"/>
          <w:kern w:val="0"/>
          <w14:ligatures w14:val="none"/>
        </w:rPr>
        <w:t>.</w:t>
      </w:r>
      <w:r w:rsidR="003E676C">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You change how the CEO leads.</w:t>
      </w:r>
      <w:r w:rsidR="003E676C">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You change how staff contribute.</w:t>
      </w:r>
      <w:r w:rsidR="00277F58">
        <w:rPr>
          <w:rFonts w:asciiTheme="majorHAnsi" w:eastAsia="Times New Roman" w:hAnsiTheme="majorHAnsi" w:cs="Times New Roman"/>
          <w:kern w:val="0"/>
          <w14:ligatures w14:val="none"/>
        </w:rPr>
        <w:t xml:space="preserve"> </w:t>
      </w:r>
      <w:r w:rsidRPr="00F15FFB">
        <w:rPr>
          <w:rFonts w:asciiTheme="majorHAnsi" w:eastAsia="Times New Roman" w:hAnsiTheme="majorHAnsi" w:cs="Times New Roman"/>
          <w:kern w:val="0"/>
          <w14:ligatures w14:val="none"/>
        </w:rPr>
        <w:t>And ultimately, you change how the organization prepares for the future.</w:t>
      </w:r>
    </w:p>
    <w:p w14:paraId="6E533E67" w14:textId="6503F7DA" w:rsidR="00F15FFB" w:rsidRDefault="00277F58" w:rsidP="00F15FFB">
      <w:p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In this manner, t</w:t>
      </w:r>
      <w:r w:rsidR="00F15FFB" w:rsidRPr="00F15FFB">
        <w:rPr>
          <w:rFonts w:asciiTheme="majorHAnsi" w:eastAsia="Times New Roman" w:hAnsiTheme="majorHAnsi" w:cs="Times New Roman"/>
          <w:kern w:val="0"/>
          <w14:ligatures w14:val="none"/>
        </w:rPr>
        <w:t>he agenda is not administrative.</w:t>
      </w:r>
      <w:r>
        <w:rPr>
          <w:rFonts w:asciiTheme="majorHAnsi" w:eastAsia="Times New Roman" w:hAnsiTheme="majorHAnsi" w:cs="Times New Roman"/>
          <w:kern w:val="0"/>
          <w14:ligatures w14:val="none"/>
        </w:rPr>
        <w:t xml:space="preserve"> </w:t>
      </w:r>
      <w:r w:rsidR="00F15FFB" w:rsidRPr="00F15FFB">
        <w:rPr>
          <w:rFonts w:asciiTheme="majorHAnsi" w:eastAsia="Times New Roman" w:hAnsiTheme="majorHAnsi" w:cs="Times New Roman"/>
          <w:kern w:val="0"/>
          <w14:ligatures w14:val="none"/>
        </w:rPr>
        <w:t>It is strategic.</w:t>
      </w:r>
      <w:r w:rsidR="007D6946">
        <w:rPr>
          <w:rFonts w:asciiTheme="majorHAnsi" w:eastAsia="Times New Roman" w:hAnsiTheme="majorHAnsi" w:cs="Times New Roman"/>
          <w:kern w:val="0"/>
          <w14:ligatures w14:val="none"/>
        </w:rPr>
        <w:t xml:space="preserve"> </w:t>
      </w:r>
      <w:r w:rsidR="00F15FFB" w:rsidRPr="00F15FFB">
        <w:rPr>
          <w:rFonts w:asciiTheme="majorHAnsi" w:eastAsia="Times New Roman" w:hAnsiTheme="majorHAnsi" w:cs="Times New Roman"/>
          <w:kern w:val="0"/>
          <w14:ligatures w14:val="none"/>
        </w:rPr>
        <w:t>And if we are serious about building future-ready organizations, that is where the work must begin.</w:t>
      </w:r>
    </w:p>
    <w:p w14:paraId="442EFB09" w14:textId="7FD000A6" w:rsidR="007D6946" w:rsidRPr="00F15FFB" w:rsidRDefault="007D6946" w:rsidP="00F15FFB">
      <w:pPr>
        <w:spacing w:before="100" w:beforeAutospacing="1" w:after="100" w:afterAutospacing="1" w:line="240" w:lineRule="auto"/>
        <w:rPr>
          <w:rFonts w:asciiTheme="majorHAnsi" w:eastAsia="Times New Roman" w:hAnsiTheme="majorHAnsi" w:cs="Times New Roman"/>
          <w:kern w:val="0"/>
          <w14:ligatures w14:val="none"/>
        </w:rPr>
      </w:pPr>
      <w:r>
        <w:rPr>
          <w:rFonts w:asciiTheme="majorHAnsi" w:eastAsia="Times New Roman" w:hAnsiTheme="majorHAnsi" w:cs="Times New Roman"/>
          <w:kern w:val="0"/>
          <w14:ligatures w14:val="none"/>
        </w:rPr>
        <w:t>Let me know what you think.</w:t>
      </w:r>
    </w:p>
    <w:p w14:paraId="5BEA7308" w14:textId="2632BB16" w:rsidR="00D46EE8" w:rsidRDefault="00D46EE8" w:rsidP="00D46EE8">
      <w:pPr>
        <w:pStyle w:val="NoSpacing"/>
      </w:pPr>
      <w:hyperlink r:id="rId11" w:history="1">
        <w:r w:rsidRPr="00CA5C47">
          <w:rPr>
            <w:rStyle w:val="Hyperlink"/>
            <w:rFonts w:asciiTheme="majorHAnsi" w:eastAsia="Times New Roman" w:hAnsiTheme="majorHAnsi" w:cs="Times New Roman"/>
            <w:kern w:val="0"/>
            <w14:ligatures w14:val="none"/>
          </w:rPr>
          <w:t>https://</w:t>
        </w:r>
        <w:r w:rsidRPr="00F15FFB">
          <w:rPr>
            <w:rStyle w:val="Hyperlink"/>
            <w:rFonts w:asciiTheme="majorHAnsi" w:eastAsia="Times New Roman" w:hAnsiTheme="majorHAnsi" w:cs="Times New Roman"/>
            <w:kern w:val="0"/>
            <w14:ligatures w14:val="none"/>
          </w:rPr>
          <w:t>michaelbuteraspeaks.com</w:t>
        </w:r>
      </w:hyperlink>
    </w:p>
    <w:p w14:paraId="2B0FF899" w14:textId="7C004763" w:rsidR="00CC4C7C" w:rsidRDefault="00D46EE8" w:rsidP="00D46EE8">
      <w:pPr>
        <w:pStyle w:val="NoSpacing"/>
      </w:pPr>
      <w:hyperlink r:id="rId12" w:history="1">
        <w:r w:rsidRPr="00CA5C47">
          <w:rPr>
            <w:rStyle w:val="Hyperlink"/>
            <w:rFonts w:asciiTheme="majorHAnsi" w:eastAsia="Times New Roman" w:hAnsiTheme="majorHAnsi" w:cs="Times New Roman"/>
            <w:kern w:val="0"/>
            <w14:ligatures w14:val="none"/>
          </w:rPr>
          <w:t>https://associationactivision.com</w:t>
        </w:r>
      </w:hyperlink>
    </w:p>
    <w:p w14:paraId="10451C49" w14:textId="1CA6A345" w:rsidR="00CC4C7C" w:rsidRPr="00F15FFB" w:rsidRDefault="00CC4C7C" w:rsidP="00F15FFB">
      <w:pPr>
        <w:spacing w:before="100" w:beforeAutospacing="1" w:after="100" w:afterAutospacing="1" w:line="240" w:lineRule="auto"/>
        <w:rPr>
          <w:rFonts w:asciiTheme="majorHAnsi" w:eastAsia="Times New Roman" w:hAnsiTheme="majorHAnsi" w:cs="Times New Roman"/>
          <w:b/>
          <w:bCs/>
          <w:kern w:val="0"/>
          <w14:ligatures w14:val="none"/>
        </w:rPr>
      </w:pPr>
      <w:r w:rsidRPr="00CE149F">
        <w:rPr>
          <w:rFonts w:asciiTheme="majorHAnsi" w:eastAsia="Times New Roman" w:hAnsiTheme="majorHAnsi" w:cs="Times New Roman"/>
          <w:b/>
          <w:bCs/>
          <w:kern w:val="0"/>
          <w14:ligatures w14:val="none"/>
        </w:rPr>
        <w:t>References:</w:t>
      </w:r>
    </w:p>
    <w:p w14:paraId="275F60F7" w14:textId="77777777" w:rsidR="00F15FFB" w:rsidRPr="00CE149F" w:rsidRDefault="00F15FFB" w:rsidP="00CC4C7C">
      <w:pPr>
        <w:pStyle w:val="NoSpacing"/>
        <w:rPr>
          <w:b/>
          <w:bCs/>
          <w:i/>
          <w:iCs/>
          <w:sz w:val="20"/>
          <w:szCs w:val="20"/>
        </w:rPr>
      </w:pPr>
      <w:r w:rsidRPr="00CE149F">
        <w:rPr>
          <w:b/>
          <w:bCs/>
          <w:i/>
          <w:iCs/>
          <w:sz w:val="20"/>
          <w:szCs w:val="20"/>
        </w:rPr>
        <w:t>Carver, J. (2006). Boards that make a difference: A new design for leadership in nonprofit and public organizations (3rd ed.). Jossey-Bass.</w:t>
      </w:r>
    </w:p>
    <w:p w14:paraId="1117B6FB" w14:textId="77777777" w:rsidR="00F15FFB" w:rsidRPr="00CE149F" w:rsidRDefault="00F15FFB" w:rsidP="00CC4C7C">
      <w:pPr>
        <w:pStyle w:val="NoSpacing"/>
        <w:rPr>
          <w:b/>
          <w:bCs/>
          <w:i/>
          <w:iCs/>
          <w:sz w:val="20"/>
          <w:szCs w:val="20"/>
        </w:rPr>
      </w:pPr>
      <w:r w:rsidRPr="00CE149F">
        <w:rPr>
          <w:b/>
          <w:bCs/>
          <w:i/>
          <w:iCs/>
          <w:sz w:val="20"/>
          <w:szCs w:val="20"/>
        </w:rPr>
        <w:t>Cascio, J. (2020). Facing the age of chaos. Medium. (BANI framework)</w:t>
      </w:r>
    </w:p>
    <w:p w14:paraId="55D36717" w14:textId="77777777" w:rsidR="00F15FFB" w:rsidRPr="00CE149F" w:rsidRDefault="00F15FFB" w:rsidP="00CC4C7C">
      <w:pPr>
        <w:pStyle w:val="NoSpacing"/>
        <w:rPr>
          <w:b/>
          <w:bCs/>
          <w:i/>
          <w:iCs/>
          <w:sz w:val="20"/>
          <w:szCs w:val="20"/>
        </w:rPr>
      </w:pPr>
      <w:r w:rsidRPr="00CE149F">
        <w:rPr>
          <w:b/>
          <w:bCs/>
          <w:i/>
          <w:iCs/>
          <w:sz w:val="20"/>
          <w:szCs w:val="20"/>
        </w:rPr>
        <w:t>Cornforth, C. (2012). Nonprofit governance research: Limitations of the focus on boards and suggestions for new directions. Nonprofit and Voluntary Sector Quarterly, 41(6), 1116–1135.</w:t>
      </w:r>
    </w:p>
    <w:p w14:paraId="2A26C821" w14:textId="77777777" w:rsidR="00F15FFB" w:rsidRPr="00CE149F" w:rsidRDefault="00F15FFB" w:rsidP="00CC4C7C">
      <w:pPr>
        <w:pStyle w:val="NoSpacing"/>
        <w:rPr>
          <w:b/>
          <w:bCs/>
          <w:i/>
          <w:iCs/>
          <w:sz w:val="20"/>
          <w:szCs w:val="20"/>
        </w:rPr>
      </w:pPr>
      <w:r w:rsidRPr="00CE149F">
        <w:rPr>
          <w:b/>
          <w:bCs/>
          <w:i/>
          <w:iCs/>
          <w:sz w:val="20"/>
          <w:szCs w:val="20"/>
        </w:rPr>
        <w:t>De Cagna, J. (2020). Foresight is not a luxury: It is a necessity for association boards. Foresight First LLC.</w:t>
      </w:r>
    </w:p>
    <w:p w14:paraId="2CD86D9C" w14:textId="77777777" w:rsidR="00F15FFB" w:rsidRPr="00CE149F" w:rsidRDefault="00F15FFB" w:rsidP="00CC4C7C">
      <w:pPr>
        <w:pStyle w:val="NoSpacing"/>
        <w:rPr>
          <w:b/>
          <w:bCs/>
          <w:i/>
          <w:iCs/>
          <w:sz w:val="20"/>
          <w:szCs w:val="20"/>
        </w:rPr>
      </w:pPr>
      <w:r w:rsidRPr="00CE149F">
        <w:rPr>
          <w:b/>
          <w:bCs/>
          <w:i/>
          <w:iCs/>
          <w:sz w:val="20"/>
          <w:szCs w:val="20"/>
        </w:rPr>
        <w:t xml:space="preserve">Heifetz, R., </w:t>
      </w:r>
      <w:proofErr w:type="spellStart"/>
      <w:r w:rsidRPr="00CE149F">
        <w:rPr>
          <w:b/>
          <w:bCs/>
          <w:i/>
          <w:iCs/>
          <w:sz w:val="20"/>
          <w:szCs w:val="20"/>
        </w:rPr>
        <w:t>Grashow</w:t>
      </w:r>
      <w:proofErr w:type="spellEnd"/>
      <w:r w:rsidRPr="00CE149F">
        <w:rPr>
          <w:b/>
          <w:bCs/>
          <w:i/>
          <w:iCs/>
          <w:sz w:val="20"/>
          <w:szCs w:val="20"/>
        </w:rPr>
        <w:t>, A., &amp; Linsky, M. (2009). The practice of adaptive leadership. Harvard Business Press.</w:t>
      </w:r>
    </w:p>
    <w:p w14:paraId="05F1C86D" w14:textId="77777777" w:rsidR="00F15FFB" w:rsidRPr="00CE149F" w:rsidRDefault="00F15FFB" w:rsidP="00CC4C7C">
      <w:pPr>
        <w:pStyle w:val="NoSpacing"/>
        <w:rPr>
          <w:b/>
          <w:bCs/>
          <w:i/>
          <w:iCs/>
          <w:sz w:val="20"/>
          <w:szCs w:val="20"/>
        </w:rPr>
      </w:pPr>
      <w:r w:rsidRPr="00CE149F">
        <w:rPr>
          <w:b/>
          <w:bCs/>
          <w:i/>
          <w:iCs/>
          <w:sz w:val="20"/>
          <w:szCs w:val="20"/>
        </w:rPr>
        <w:t>Kahneman, D. (2011). Thinking, fast and slow. Farrar, Straus and Giroux.</w:t>
      </w:r>
    </w:p>
    <w:p w14:paraId="27A2AD67" w14:textId="77777777" w:rsidR="00F15FFB" w:rsidRPr="00CE149F" w:rsidRDefault="00F15FFB" w:rsidP="00CC4C7C">
      <w:pPr>
        <w:pStyle w:val="NoSpacing"/>
        <w:rPr>
          <w:b/>
          <w:bCs/>
          <w:i/>
          <w:iCs/>
          <w:sz w:val="20"/>
          <w:szCs w:val="20"/>
        </w:rPr>
      </w:pPr>
      <w:r w:rsidRPr="00CE149F">
        <w:rPr>
          <w:b/>
          <w:bCs/>
          <w:i/>
          <w:iCs/>
          <w:sz w:val="20"/>
          <w:szCs w:val="20"/>
        </w:rPr>
        <w:t xml:space="preserve">Maitlis, S., &amp; Lawrence, T. B. (2007). Triggers and enablers of </w:t>
      </w:r>
      <w:proofErr w:type="spellStart"/>
      <w:r w:rsidRPr="00CE149F">
        <w:rPr>
          <w:b/>
          <w:bCs/>
          <w:i/>
          <w:iCs/>
          <w:sz w:val="20"/>
          <w:szCs w:val="20"/>
        </w:rPr>
        <w:t>sensegiving</w:t>
      </w:r>
      <w:proofErr w:type="spellEnd"/>
      <w:r w:rsidRPr="00CE149F">
        <w:rPr>
          <w:b/>
          <w:bCs/>
          <w:i/>
          <w:iCs/>
          <w:sz w:val="20"/>
          <w:szCs w:val="20"/>
        </w:rPr>
        <w:t xml:space="preserve"> in organizations. Academy of Management Journal, 50(1), 57–84.</w:t>
      </w:r>
    </w:p>
    <w:p w14:paraId="26E31DEA" w14:textId="77777777" w:rsidR="00F15FFB" w:rsidRPr="00CE149F" w:rsidRDefault="00F15FFB" w:rsidP="00CC4C7C">
      <w:pPr>
        <w:pStyle w:val="NoSpacing"/>
        <w:rPr>
          <w:b/>
          <w:bCs/>
          <w:i/>
          <w:iCs/>
          <w:sz w:val="20"/>
          <w:szCs w:val="20"/>
        </w:rPr>
      </w:pPr>
      <w:r w:rsidRPr="00CE149F">
        <w:rPr>
          <w:b/>
          <w:bCs/>
          <w:i/>
          <w:iCs/>
          <w:sz w:val="20"/>
          <w:szCs w:val="20"/>
        </w:rPr>
        <w:t>Rohrbeck, R., &amp; Kum, M. E. (2018). Corporate foresight and its impact on firm performance. Technological Forecasting and Social Change, 129, 105–116.</w:t>
      </w:r>
    </w:p>
    <w:p w14:paraId="71FF5726" w14:textId="77777777" w:rsidR="00F15FFB" w:rsidRPr="00CE149F" w:rsidRDefault="00F15FFB" w:rsidP="00CC4C7C">
      <w:pPr>
        <w:pStyle w:val="NoSpacing"/>
        <w:rPr>
          <w:b/>
          <w:bCs/>
          <w:i/>
          <w:iCs/>
          <w:sz w:val="20"/>
          <w:szCs w:val="20"/>
        </w:rPr>
      </w:pPr>
      <w:r w:rsidRPr="00CE149F">
        <w:rPr>
          <w:b/>
          <w:bCs/>
          <w:i/>
          <w:iCs/>
          <w:sz w:val="20"/>
          <w:szCs w:val="20"/>
        </w:rPr>
        <w:t>Senge, P. M. (2006). The fifth discipline: The art and practice of the learning organization (Revised ed.). Doubleday.</w:t>
      </w:r>
    </w:p>
    <w:p w14:paraId="2B793442" w14:textId="525E6B56" w:rsidR="00F15FFB" w:rsidRPr="00CE149F" w:rsidRDefault="00F15FFB" w:rsidP="00CE149F">
      <w:pPr>
        <w:pStyle w:val="NoSpacing"/>
        <w:rPr>
          <w:b/>
          <w:bCs/>
          <w:i/>
          <w:iCs/>
          <w:sz w:val="20"/>
          <w:szCs w:val="20"/>
        </w:rPr>
      </w:pPr>
      <w:r w:rsidRPr="00CE149F">
        <w:rPr>
          <w:b/>
          <w:bCs/>
          <w:i/>
          <w:iCs/>
          <w:sz w:val="20"/>
          <w:szCs w:val="20"/>
        </w:rPr>
        <w:t xml:space="preserve">Taylor, B. E., Chait, R. P., &amp; Holland, T. P. (1996). The new work of the nonprofit </w:t>
      </w:r>
      <w:r w:rsidR="006A3100" w:rsidRPr="00CE149F">
        <w:rPr>
          <w:b/>
          <w:bCs/>
          <w:i/>
          <w:iCs/>
          <w:sz w:val="20"/>
          <w:szCs w:val="20"/>
        </w:rPr>
        <w:t>b</w:t>
      </w:r>
      <w:r w:rsidRPr="00CE149F">
        <w:rPr>
          <w:b/>
          <w:bCs/>
          <w:i/>
          <w:iCs/>
          <w:sz w:val="20"/>
          <w:szCs w:val="20"/>
        </w:rPr>
        <w:t>oard. Harvard Business Review, 74(5), 36–46.</w:t>
      </w:r>
    </w:p>
    <w:sectPr w:rsidR="00F15FFB" w:rsidRPr="00CE149F" w:rsidSect="00CC4C7C">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21DB5" w14:textId="77777777" w:rsidR="00052B13" w:rsidRDefault="00052B13" w:rsidP="00CC4C7C">
      <w:pPr>
        <w:spacing w:after="0" w:line="240" w:lineRule="auto"/>
      </w:pPr>
      <w:r>
        <w:separator/>
      </w:r>
    </w:p>
  </w:endnote>
  <w:endnote w:type="continuationSeparator" w:id="0">
    <w:p w14:paraId="7CF85EC9" w14:textId="77777777" w:rsidR="00052B13" w:rsidRDefault="00052B13" w:rsidP="00CC4C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8800308"/>
      <w:docPartObj>
        <w:docPartGallery w:val="Page Numbers (Bottom of Page)"/>
        <w:docPartUnique/>
      </w:docPartObj>
    </w:sdtPr>
    <w:sdtEndPr>
      <w:rPr>
        <w:noProof/>
      </w:rPr>
    </w:sdtEndPr>
    <w:sdtContent>
      <w:p w14:paraId="65A08514" w14:textId="5594F933" w:rsidR="00CC4C7C" w:rsidRDefault="00CC4C7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17F7969" w14:textId="77777777" w:rsidR="00CC4C7C" w:rsidRDefault="00CC4C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495BA2" w14:textId="77777777" w:rsidR="00052B13" w:rsidRDefault="00052B13" w:rsidP="00CC4C7C">
      <w:pPr>
        <w:spacing w:after="0" w:line="240" w:lineRule="auto"/>
      </w:pPr>
      <w:r>
        <w:separator/>
      </w:r>
    </w:p>
  </w:footnote>
  <w:footnote w:type="continuationSeparator" w:id="0">
    <w:p w14:paraId="5B7FA0C5" w14:textId="77777777" w:rsidR="00052B13" w:rsidRDefault="00052B13" w:rsidP="00CC4C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357E2A"/>
    <w:multiLevelType w:val="hybridMultilevel"/>
    <w:tmpl w:val="77045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42225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3NzKxtLQwsLQ0NDVV0lEKTi0uzszPAykwqgUAu4U+6iwAAAA="/>
  </w:docVars>
  <w:rsids>
    <w:rsidRoot w:val="00F15FFB"/>
    <w:rsid w:val="00052B13"/>
    <w:rsid w:val="000A6714"/>
    <w:rsid w:val="001511EE"/>
    <w:rsid w:val="0022658A"/>
    <w:rsid w:val="002653D4"/>
    <w:rsid w:val="00277F58"/>
    <w:rsid w:val="002B2EDE"/>
    <w:rsid w:val="003D76C5"/>
    <w:rsid w:val="003E676C"/>
    <w:rsid w:val="004651A9"/>
    <w:rsid w:val="004B6E99"/>
    <w:rsid w:val="004E0996"/>
    <w:rsid w:val="00522ECF"/>
    <w:rsid w:val="0053181C"/>
    <w:rsid w:val="00572AD8"/>
    <w:rsid w:val="005E7737"/>
    <w:rsid w:val="006A3100"/>
    <w:rsid w:val="007D6946"/>
    <w:rsid w:val="007E407C"/>
    <w:rsid w:val="008523B9"/>
    <w:rsid w:val="008E201B"/>
    <w:rsid w:val="009351A5"/>
    <w:rsid w:val="009F6E73"/>
    <w:rsid w:val="00AA7391"/>
    <w:rsid w:val="00B81F6F"/>
    <w:rsid w:val="00BD63EF"/>
    <w:rsid w:val="00C63AF5"/>
    <w:rsid w:val="00CB71E5"/>
    <w:rsid w:val="00CC4C7C"/>
    <w:rsid w:val="00CE149F"/>
    <w:rsid w:val="00D31980"/>
    <w:rsid w:val="00D46EE8"/>
    <w:rsid w:val="00D63C33"/>
    <w:rsid w:val="00ED4E32"/>
    <w:rsid w:val="00F15FFB"/>
    <w:rsid w:val="00F5027E"/>
    <w:rsid w:val="00F74A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152C0"/>
  <w15:chartTrackingRefBased/>
  <w15:docId w15:val="{DD0EECB0-6454-488F-A55B-00FEC9EC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5F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5F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5F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5F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5F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5F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5F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5F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5F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5F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5F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5F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5F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5F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5F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5F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5F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5FFB"/>
    <w:rPr>
      <w:rFonts w:eastAsiaTheme="majorEastAsia" w:cstheme="majorBidi"/>
      <w:color w:val="272727" w:themeColor="text1" w:themeTint="D8"/>
    </w:rPr>
  </w:style>
  <w:style w:type="paragraph" w:styleId="Title">
    <w:name w:val="Title"/>
    <w:basedOn w:val="Normal"/>
    <w:next w:val="Normal"/>
    <w:link w:val="TitleChar"/>
    <w:uiPriority w:val="10"/>
    <w:qFormat/>
    <w:rsid w:val="00F15F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F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5F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5F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5FFB"/>
    <w:pPr>
      <w:spacing w:before="160"/>
      <w:jc w:val="center"/>
    </w:pPr>
    <w:rPr>
      <w:i/>
      <w:iCs/>
      <w:color w:val="404040" w:themeColor="text1" w:themeTint="BF"/>
    </w:rPr>
  </w:style>
  <w:style w:type="character" w:customStyle="1" w:styleId="QuoteChar">
    <w:name w:val="Quote Char"/>
    <w:basedOn w:val="DefaultParagraphFont"/>
    <w:link w:val="Quote"/>
    <w:uiPriority w:val="29"/>
    <w:rsid w:val="00F15FFB"/>
    <w:rPr>
      <w:i/>
      <w:iCs/>
      <w:color w:val="404040" w:themeColor="text1" w:themeTint="BF"/>
    </w:rPr>
  </w:style>
  <w:style w:type="paragraph" w:styleId="ListParagraph">
    <w:name w:val="List Paragraph"/>
    <w:basedOn w:val="Normal"/>
    <w:uiPriority w:val="34"/>
    <w:qFormat/>
    <w:rsid w:val="00F15FFB"/>
    <w:pPr>
      <w:ind w:left="720"/>
      <w:contextualSpacing/>
    </w:pPr>
  </w:style>
  <w:style w:type="character" w:styleId="IntenseEmphasis">
    <w:name w:val="Intense Emphasis"/>
    <w:basedOn w:val="DefaultParagraphFont"/>
    <w:uiPriority w:val="21"/>
    <w:qFormat/>
    <w:rsid w:val="00F15FFB"/>
    <w:rPr>
      <w:i/>
      <w:iCs/>
      <w:color w:val="0F4761" w:themeColor="accent1" w:themeShade="BF"/>
    </w:rPr>
  </w:style>
  <w:style w:type="paragraph" w:styleId="IntenseQuote">
    <w:name w:val="Intense Quote"/>
    <w:basedOn w:val="Normal"/>
    <w:next w:val="Normal"/>
    <w:link w:val="IntenseQuoteChar"/>
    <w:uiPriority w:val="30"/>
    <w:qFormat/>
    <w:rsid w:val="00F15F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5FFB"/>
    <w:rPr>
      <w:i/>
      <w:iCs/>
      <w:color w:val="0F4761" w:themeColor="accent1" w:themeShade="BF"/>
    </w:rPr>
  </w:style>
  <w:style w:type="character" w:styleId="IntenseReference">
    <w:name w:val="Intense Reference"/>
    <w:basedOn w:val="DefaultParagraphFont"/>
    <w:uiPriority w:val="32"/>
    <w:qFormat/>
    <w:rsid w:val="00F15FFB"/>
    <w:rPr>
      <w:b/>
      <w:bCs/>
      <w:smallCaps/>
      <w:color w:val="0F4761" w:themeColor="accent1" w:themeShade="BF"/>
      <w:spacing w:val="5"/>
    </w:rPr>
  </w:style>
  <w:style w:type="character" w:styleId="Strong">
    <w:name w:val="Strong"/>
    <w:basedOn w:val="DefaultParagraphFont"/>
    <w:uiPriority w:val="22"/>
    <w:qFormat/>
    <w:rsid w:val="00F15FFB"/>
    <w:rPr>
      <w:b/>
      <w:bCs/>
    </w:rPr>
  </w:style>
  <w:style w:type="paragraph" w:styleId="NormalWeb">
    <w:name w:val="Normal (Web)"/>
    <w:basedOn w:val="Normal"/>
    <w:uiPriority w:val="99"/>
    <w:semiHidden/>
    <w:unhideWhenUsed/>
    <w:rsid w:val="00F15FFB"/>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F15FFB"/>
    <w:rPr>
      <w:i/>
      <w:iCs/>
    </w:rPr>
  </w:style>
  <w:style w:type="paragraph" w:styleId="Header">
    <w:name w:val="header"/>
    <w:basedOn w:val="Normal"/>
    <w:link w:val="HeaderChar"/>
    <w:uiPriority w:val="99"/>
    <w:unhideWhenUsed/>
    <w:rsid w:val="00CC4C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4C7C"/>
  </w:style>
  <w:style w:type="paragraph" w:styleId="Footer">
    <w:name w:val="footer"/>
    <w:basedOn w:val="Normal"/>
    <w:link w:val="FooterChar"/>
    <w:uiPriority w:val="99"/>
    <w:unhideWhenUsed/>
    <w:rsid w:val="00CC4C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4C7C"/>
  </w:style>
  <w:style w:type="paragraph" w:styleId="NoSpacing">
    <w:name w:val="No Spacing"/>
    <w:uiPriority w:val="1"/>
    <w:qFormat/>
    <w:rsid w:val="00CC4C7C"/>
    <w:pPr>
      <w:spacing w:after="0" w:line="240" w:lineRule="auto"/>
    </w:pPr>
  </w:style>
  <w:style w:type="character" w:styleId="Hyperlink">
    <w:name w:val="Hyperlink"/>
    <w:basedOn w:val="DefaultParagraphFont"/>
    <w:uiPriority w:val="99"/>
    <w:unhideWhenUsed/>
    <w:rsid w:val="00D46EE8"/>
    <w:rPr>
      <w:color w:val="467886" w:themeColor="hyperlink"/>
      <w:u w:val="single"/>
    </w:rPr>
  </w:style>
  <w:style w:type="character" w:styleId="UnresolvedMention">
    <w:name w:val="Unresolved Mention"/>
    <w:basedOn w:val="DefaultParagraphFont"/>
    <w:uiPriority w:val="99"/>
    <w:semiHidden/>
    <w:unhideWhenUsed/>
    <w:rsid w:val="00D46EE8"/>
    <w:rPr>
      <w:color w:val="605E5C"/>
      <w:shd w:val="clear" w:color="auto" w:fill="E1DFDD"/>
    </w:rPr>
  </w:style>
  <w:style w:type="table" w:styleId="TableGrid">
    <w:name w:val="Table Grid"/>
    <w:basedOn w:val="TableNormal"/>
    <w:uiPriority w:val="39"/>
    <w:rsid w:val="00F74A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sociationactivision.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ichaelbuteraspeaks.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FF36A4D4474D44B8A04824D2F26CD1" ma:contentTypeVersion="19" ma:contentTypeDescription="Create a new document." ma:contentTypeScope="" ma:versionID="9cee1d3371f660dc2637d4727b6fc656">
  <xsd:schema xmlns:xsd="http://www.w3.org/2001/XMLSchema" xmlns:xs="http://www.w3.org/2001/XMLSchema" xmlns:p="http://schemas.microsoft.com/office/2006/metadata/properties" xmlns:ns3="d37d457a-cc5b-4c23-81e2-d2b6151934f0" xmlns:ns4="e858caf1-e72f-48fa-ab5b-917af889d733" targetNamespace="http://schemas.microsoft.com/office/2006/metadata/properties" ma:root="true" ma:fieldsID="1c08ea25b7ccd36977d124e7000e943d" ns3:_="" ns4:_="">
    <xsd:import namespace="d37d457a-cc5b-4c23-81e2-d2b6151934f0"/>
    <xsd:import namespace="e858caf1-e72f-48fa-ab5b-917af889d73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7d457a-cc5b-4c23-81e2-d2b6151934f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8caf1-e72f-48fa-ab5b-917af889d73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SystemTags" ma:index="25" nillable="true" ma:displayName="MediaServiceSystemTags" ma:hidden="true" ma:internalName="MediaServiceSystemTag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858caf1-e72f-48fa-ab5b-917af889d733" xsi:nil="true"/>
  </documentManagement>
</p:properties>
</file>

<file path=customXml/itemProps1.xml><?xml version="1.0" encoding="utf-8"?>
<ds:datastoreItem xmlns:ds="http://schemas.openxmlformats.org/officeDocument/2006/customXml" ds:itemID="{11BB6A5A-B4A6-4258-A4BC-1D527C70076F}">
  <ds:schemaRefs>
    <ds:schemaRef ds:uri="http://schemas.microsoft.com/sharepoint/v3/contenttype/forms"/>
  </ds:schemaRefs>
</ds:datastoreItem>
</file>

<file path=customXml/itemProps2.xml><?xml version="1.0" encoding="utf-8"?>
<ds:datastoreItem xmlns:ds="http://schemas.openxmlformats.org/officeDocument/2006/customXml" ds:itemID="{B0D58679-2062-4CA2-8535-5943A48903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7d457a-cc5b-4c23-81e2-d2b6151934f0"/>
    <ds:schemaRef ds:uri="e858caf1-e72f-48fa-ab5b-917af889d7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FD42E2-8246-482F-92CA-A8BBB830DA5B}">
  <ds:schemaRefs>
    <ds:schemaRef ds:uri="http://schemas.microsoft.com/office/2006/metadata/properties"/>
    <ds:schemaRef ds:uri="http://schemas.microsoft.com/office/infopath/2007/PartnerControls"/>
    <ds:schemaRef ds:uri="e858caf1-e72f-48fa-ab5b-917af889d73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1321</Words>
  <Characters>8245</Characters>
  <Application>Microsoft Office Word</Application>
  <DocSecurity>0</DocSecurity>
  <Lines>433</Lines>
  <Paragraphs>207</Paragraphs>
  <ScaleCrop>false</ScaleCrop>
  <Company/>
  <LinksUpToDate>false</LinksUpToDate>
  <CharactersWithSpaces>9359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Butera</dc:creator>
  <cp:keywords/>
  <dc:description/>
  <cp:lastModifiedBy>Michael Butera</cp:lastModifiedBy>
  <cp:revision>2</cp:revision>
  <dcterms:created xsi:type="dcterms:W3CDTF">2026-04-26T23:08:00Z</dcterms:created>
  <dcterms:modified xsi:type="dcterms:W3CDTF">2026-04-26T23:08:00Z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0x01010033FF36A4D4474D44B8A04824D2F26CD1</vt:lpwstr>
  </property>
</Properties>
</file>